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B192D" w14:textId="7AFEAEF3" w:rsidR="0099433F" w:rsidRDefault="0026354C" w:rsidP="0026354C">
      <w:pPr>
        <w:jc w:val="right"/>
        <w:rPr>
          <w:b/>
        </w:rPr>
      </w:pPr>
      <w:r w:rsidRPr="0026354C">
        <w:rPr>
          <w:b/>
        </w:rPr>
        <w:t xml:space="preserve">Proposed Local Law No. </w:t>
      </w:r>
      <w:r w:rsidR="005C217C">
        <w:rPr>
          <w:b/>
        </w:rPr>
        <w:t>#8</w:t>
      </w:r>
      <w:r w:rsidRPr="0026354C">
        <w:rPr>
          <w:b/>
          <w:u w:val="single"/>
        </w:rPr>
        <w:tab/>
      </w:r>
      <w:r w:rsidRPr="0026354C">
        <w:rPr>
          <w:b/>
        </w:rPr>
        <w:t>-202</w:t>
      </w:r>
      <w:r w:rsidR="00B3267E">
        <w:rPr>
          <w:b/>
        </w:rPr>
        <w:t>2</w:t>
      </w:r>
    </w:p>
    <w:p w14:paraId="1D121C7B" w14:textId="0F392008" w:rsidR="00B3267E" w:rsidRPr="0026354C" w:rsidRDefault="00B3267E" w:rsidP="0026354C">
      <w:pPr>
        <w:jc w:val="right"/>
        <w:rPr>
          <w:b/>
        </w:rPr>
      </w:pPr>
      <w:r>
        <w:rPr>
          <w:b/>
        </w:rPr>
        <w:t>DRAFT #1 – 4/11/2022</w:t>
      </w:r>
    </w:p>
    <w:p w14:paraId="2811A745" w14:textId="77777777" w:rsidR="003C4F1D" w:rsidRPr="0026354C" w:rsidRDefault="003C4F1D">
      <w:pPr>
        <w:rPr>
          <w:b/>
        </w:rPr>
      </w:pPr>
    </w:p>
    <w:p w14:paraId="67D65D84" w14:textId="3D3D78D5" w:rsidR="0026354C" w:rsidRPr="0026354C" w:rsidRDefault="0026354C" w:rsidP="0026354C">
      <w:pPr>
        <w:jc w:val="center"/>
        <w:rPr>
          <w:b/>
        </w:rPr>
      </w:pPr>
      <w:r w:rsidRPr="0026354C">
        <w:rPr>
          <w:b/>
        </w:rPr>
        <w:t>A</w:t>
      </w:r>
      <w:r w:rsidR="00B3267E">
        <w:rPr>
          <w:b/>
        </w:rPr>
        <w:t xml:space="preserve">DDING </w:t>
      </w:r>
      <w:r w:rsidRPr="0026354C">
        <w:rPr>
          <w:b/>
        </w:rPr>
        <w:t>§110-</w:t>
      </w:r>
      <w:r w:rsidR="00B3267E">
        <w:rPr>
          <w:b/>
        </w:rPr>
        <w:t>46</w:t>
      </w:r>
      <w:r w:rsidRPr="0026354C">
        <w:rPr>
          <w:b/>
        </w:rPr>
        <w:t xml:space="preserve">. </w:t>
      </w:r>
      <w:r w:rsidR="00B3267E">
        <w:rPr>
          <w:b/>
        </w:rPr>
        <w:t>ELECTRIC VEHICLE PARKING</w:t>
      </w:r>
    </w:p>
    <w:p w14:paraId="25CE8CD0" w14:textId="77777777" w:rsidR="0026354C" w:rsidRDefault="0026354C" w:rsidP="0026354C">
      <w:pPr>
        <w:jc w:val="center"/>
      </w:pPr>
    </w:p>
    <w:p w14:paraId="7FFCC4B3" w14:textId="77777777" w:rsidR="0026354C" w:rsidRDefault="0026354C" w:rsidP="0026354C">
      <w:pPr>
        <w:jc w:val="both"/>
      </w:pPr>
      <w:r>
        <w:tab/>
        <w:t>Be it enacted by the Village Board of the Incorporated Village of Southampton:</w:t>
      </w:r>
    </w:p>
    <w:p w14:paraId="1F130FA0" w14:textId="77777777" w:rsidR="0026354C" w:rsidRDefault="0026354C" w:rsidP="0026354C">
      <w:pPr>
        <w:jc w:val="both"/>
      </w:pPr>
    </w:p>
    <w:p w14:paraId="394B25B2" w14:textId="77777777" w:rsidR="0026354C" w:rsidRDefault="0026354C" w:rsidP="0026354C">
      <w:pPr>
        <w:jc w:val="both"/>
      </w:pPr>
      <w:r>
        <w:tab/>
        <w:t>The Code of the Incorporated Village of Southampton, County of Suffolk, New York, is amended by:</w:t>
      </w:r>
    </w:p>
    <w:p w14:paraId="12F1FCD3" w14:textId="77777777" w:rsidR="0026354C" w:rsidRDefault="0026354C" w:rsidP="0026354C">
      <w:pPr>
        <w:jc w:val="both"/>
      </w:pPr>
    </w:p>
    <w:p w14:paraId="687CF85A" w14:textId="450640EB" w:rsidR="0026354C" w:rsidRDefault="0026354C" w:rsidP="0026354C">
      <w:pPr>
        <w:jc w:val="both"/>
      </w:pPr>
      <w:r>
        <w:tab/>
        <w:t>A</w:t>
      </w:r>
      <w:r w:rsidR="00B3267E">
        <w:t xml:space="preserve">DDING </w:t>
      </w:r>
      <w:r>
        <w:t>§110-</w:t>
      </w:r>
      <w:r w:rsidR="00B3267E">
        <w:t>46</w:t>
      </w:r>
      <w:r>
        <w:t>.</w:t>
      </w:r>
      <w:r w:rsidR="00B3267E">
        <w:t xml:space="preserve"> ELECTRIC VEHICLE PARKING </w:t>
      </w:r>
      <w:r>
        <w:t xml:space="preserve">of Chapter 110 of the Village </w:t>
      </w:r>
      <w:r w:rsidR="00B3267E">
        <w:t>C</w:t>
      </w:r>
      <w:r>
        <w:t>ode which shall read as follows:</w:t>
      </w:r>
    </w:p>
    <w:p w14:paraId="1D507C66" w14:textId="77777777" w:rsidR="0026354C" w:rsidRDefault="0026354C" w:rsidP="0026354C">
      <w:pPr>
        <w:jc w:val="both"/>
      </w:pPr>
    </w:p>
    <w:p w14:paraId="33C11784" w14:textId="77777777" w:rsidR="0026354C" w:rsidRDefault="0026354C" w:rsidP="0026354C">
      <w:pPr>
        <w:jc w:val="both"/>
      </w:pPr>
      <w:r>
        <w:tab/>
      </w:r>
      <w:r>
        <w:tab/>
        <w:t>[</w:t>
      </w:r>
      <w:r w:rsidRPr="002B42A5">
        <w:rPr>
          <w:b/>
          <w:bCs/>
          <w:u w:val="single"/>
        </w:rPr>
        <w:t>New Language</w:t>
      </w:r>
      <w:r>
        <w:t>]</w:t>
      </w:r>
    </w:p>
    <w:p w14:paraId="11B00137" w14:textId="77777777" w:rsidR="0026354C" w:rsidRDefault="0026354C" w:rsidP="0026354C">
      <w:pPr>
        <w:jc w:val="both"/>
      </w:pPr>
    </w:p>
    <w:p w14:paraId="282B61CA" w14:textId="330FCB91" w:rsidR="0026354C" w:rsidRDefault="0026354C" w:rsidP="0026354C">
      <w:pPr>
        <w:jc w:val="both"/>
      </w:pPr>
      <w:r w:rsidRPr="0026354C">
        <w:rPr>
          <w:b/>
        </w:rPr>
        <w:t>Section 1.  Amendment.</w:t>
      </w:r>
      <w:r>
        <w:t xml:space="preserve">  A</w:t>
      </w:r>
      <w:r w:rsidR="00B3267E">
        <w:t xml:space="preserve">DD </w:t>
      </w:r>
      <w:r>
        <w:t>§110-</w:t>
      </w:r>
      <w:r w:rsidR="00B3267E">
        <w:t>46.  Electric Vehicle Parking o</w:t>
      </w:r>
      <w:r>
        <w:t>f Chapter 110 of the Village Code by adding the underlined words as follows:</w:t>
      </w:r>
    </w:p>
    <w:p w14:paraId="6BCEAD47" w14:textId="77777777" w:rsidR="002B42A5" w:rsidRPr="002B42A5" w:rsidRDefault="002B42A5" w:rsidP="002B42A5">
      <w:pPr>
        <w:shd w:val="clear" w:color="auto" w:fill="FFFFFF"/>
        <w:spacing w:before="240" w:after="240"/>
        <w:jc w:val="center"/>
        <w:outlineLvl w:val="1"/>
        <w:rPr>
          <w:rFonts w:ascii="Arial" w:eastAsia="Times New Roman" w:hAnsi="Arial" w:cs="Arial"/>
          <w:b/>
          <w:bCs/>
          <w:color w:val="212529"/>
          <w:sz w:val="34"/>
          <w:szCs w:val="34"/>
          <w:u w:val="single"/>
        </w:rPr>
      </w:pPr>
      <w:r w:rsidRPr="002B42A5">
        <w:rPr>
          <w:rFonts w:ascii="Arial" w:eastAsia="Times New Roman" w:hAnsi="Arial" w:cs="Arial"/>
          <w:b/>
          <w:bCs/>
          <w:color w:val="212529"/>
          <w:sz w:val="34"/>
          <w:szCs w:val="34"/>
          <w:u w:val="single"/>
        </w:rPr>
        <w:t>Chapter 110.46</w:t>
      </w:r>
      <w:r w:rsidRPr="002B42A5">
        <w:rPr>
          <w:rFonts w:ascii="Arial" w:eastAsia="Times New Roman" w:hAnsi="Arial" w:cs="Arial"/>
          <w:b/>
          <w:bCs/>
          <w:color w:val="212529"/>
          <w:sz w:val="34"/>
          <w:szCs w:val="34"/>
          <w:u w:val="single"/>
        </w:rPr>
        <w:br/>
        <w:t>ELECTRIC VEHICLE PARKING</w:t>
      </w:r>
    </w:p>
    <w:p w14:paraId="72DA658A" w14:textId="77777777" w:rsidR="002B42A5" w:rsidRPr="002B42A5" w:rsidRDefault="002B42A5" w:rsidP="002B42A5">
      <w:pPr>
        <w:shd w:val="clear" w:color="auto" w:fill="FFFFFF"/>
        <w:spacing w:before="24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Sections:</w:t>
      </w:r>
    </w:p>
    <w:p w14:paraId="3F765CF0" w14:textId="77777777" w:rsidR="002B42A5" w:rsidRPr="002B42A5" w:rsidRDefault="005C217C" w:rsidP="002B42A5">
      <w:pPr>
        <w:shd w:val="clear" w:color="auto" w:fill="FFFFFF"/>
        <w:ind w:left="1680" w:hanging="1392"/>
        <w:textAlignment w:val="baseline"/>
        <w:rPr>
          <w:rFonts w:ascii="Arial" w:eastAsia="Times New Roman" w:hAnsi="Arial" w:cs="Arial"/>
          <w:b/>
          <w:bCs/>
          <w:color w:val="212529"/>
          <w:sz w:val="21"/>
          <w:szCs w:val="21"/>
          <w:u w:val="single"/>
        </w:rPr>
      </w:pPr>
      <w:hyperlink r:id="rId4" w:anchor="!/Fremont10/Fremont1030.html#10.30.010" w:history="1">
        <w:r w:rsidR="002B42A5" w:rsidRPr="002B42A5">
          <w:rPr>
            <w:rFonts w:ascii="Arial" w:eastAsia="Times New Roman" w:hAnsi="Arial" w:cs="Arial"/>
            <w:b/>
            <w:bCs/>
            <w:color w:val="0275D8"/>
            <w:sz w:val="21"/>
            <w:szCs w:val="21"/>
            <w:u w:val="single"/>
          </w:rPr>
          <w:t>110.46.010    Authority.</w:t>
        </w:r>
      </w:hyperlink>
    </w:p>
    <w:p w14:paraId="3AD83C21" w14:textId="77777777" w:rsidR="002B42A5" w:rsidRPr="002B42A5" w:rsidRDefault="005C217C" w:rsidP="002B42A5">
      <w:pPr>
        <w:shd w:val="clear" w:color="auto" w:fill="FFFFFF"/>
        <w:ind w:left="1680" w:hanging="1392"/>
        <w:textAlignment w:val="baseline"/>
        <w:rPr>
          <w:rFonts w:ascii="Arial" w:eastAsia="Times New Roman" w:hAnsi="Arial" w:cs="Arial"/>
          <w:b/>
          <w:bCs/>
          <w:color w:val="212529"/>
          <w:sz w:val="21"/>
          <w:szCs w:val="21"/>
          <w:u w:val="single"/>
        </w:rPr>
      </w:pPr>
      <w:hyperlink r:id="rId5" w:anchor="!/Fremont10/Fremont1030.html#10.30.020" w:history="1">
        <w:r w:rsidR="002B42A5" w:rsidRPr="002B42A5">
          <w:rPr>
            <w:rFonts w:ascii="Arial" w:eastAsia="Times New Roman" w:hAnsi="Arial" w:cs="Arial"/>
            <w:b/>
            <w:bCs/>
            <w:color w:val="0275D8"/>
            <w:sz w:val="21"/>
            <w:szCs w:val="21"/>
            <w:u w:val="single"/>
          </w:rPr>
          <w:t>110.46.020    Purpose.</w:t>
        </w:r>
      </w:hyperlink>
    </w:p>
    <w:p w14:paraId="148788C5" w14:textId="77777777" w:rsidR="002B42A5" w:rsidRPr="002B42A5" w:rsidRDefault="005C217C" w:rsidP="002B42A5">
      <w:pPr>
        <w:shd w:val="clear" w:color="auto" w:fill="FFFFFF"/>
        <w:ind w:left="1680" w:hanging="1392"/>
        <w:textAlignment w:val="baseline"/>
        <w:rPr>
          <w:rFonts w:ascii="Arial" w:eastAsia="Times New Roman" w:hAnsi="Arial" w:cs="Arial"/>
          <w:b/>
          <w:bCs/>
          <w:color w:val="212529"/>
          <w:sz w:val="21"/>
          <w:szCs w:val="21"/>
          <w:u w:val="single"/>
        </w:rPr>
      </w:pPr>
      <w:hyperlink r:id="rId6" w:anchor="!/Fremont10/Fremont1030.html#10.30.030" w:history="1">
        <w:r w:rsidR="002B42A5" w:rsidRPr="002B42A5">
          <w:rPr>
            <w:rFonts w:ascii="Arial" w:eastAsia="Times New Roman" w:hAnsi="Arial" w:cs="Arial"/>
            <w:b/>
            <w:bCs/>
            <w:color w:val="0275D8"/>
            <w:sz w:val="21"/>
            <w:szCs w:val="21"/>
            <w:u w:val="single"/>
          </w:rPr>
          <w:t>110.46.030    Definitions.</w:t>
        </w:r>
      </w:hyperlink>
    </w:p>
    <w:p w14:paraId="2E96ABAF" w14:textId="77777777" w:rsidR="002B42A5" w:rsidRPr="002B42A5" w:rsidRDefault="005C217C" w:rsidP="002B42A5">
      <w:pPr>
        <w:shd w:val="clear" w:color="auto" w:fill="FFFFFF"/>
        <w:ind w:left="1680" w:hanging="1392"/>
        <w:textAlignment w:val="baseline"/>
        <w:rPr>
          <w:rFonts w:ascii="Arial" w:eastAsia="Times New Roman" w:hAnsi="Arial" w:cs="Arial"/>
          <w:b/>
          <w:bCs/>
          <w:color w:val="212529"/>
          <w:sz w:val="21"/>
          <w:szCs w:val="21"/>
          <w:u w:val="single"/>
        </w:rPr>
      </w:pPr>
      <w:hyperlink r:id="rId7" w:anchor="!/Fremont10/Fremont1030.html#10.30.040" w:history="1">
        <w:r w:rsidR="002B42A5" w:rsidRPr="002B42A5">
          <w:rPr>
            <w:rFonts w:ascii="Arial" w:eastAsia="Times New Roman" w:hAnsi="Arial" w:cs="Arial"/>
            <w:b/>
            <w:bCs/>
            <w:color w:val="0275D8"/>
            <w:sz w:val="21"/>
            <w:szCs w:val="21"/>
            <w:u w:val="single"/>
          </w:rPr>
          <w:t>110.46.040    Designation of electric vehicle parking spaces.</w:t>
        </w:r>
      </w:hyperlink>
    </w:p>
    <w:p w14:paraId="6545224D" w14:textId="77777777" w:rsidR="002B42A5" w:rsidRPr="002B42A5" w:rsidRDefault="005C217C" w:rsidP="002B42A5">
      <w:pPr>
        <w:shd w:val="clear" w:color="auto" w:fill="FFFFFF"/>
        <w:ind w:left="1680" w:hanging="1392"/>
        <w:textAlignment w:val="baseline"/>
        <w:rPr>
          <w:rFonts w:ascii="Arial" w:eastAsia="Times New Roman" w:hAnsi="Arial" w:cs="Arial"/>
          <w:b/>
          <w:bCs/>
          <w:color w:val="212529"/>
          <w:sz w:val="21"/>
          <w:szCs w:val="21"/>
          <w:u w:val="single"/>
        </w:rPr>
      </w:pPr>
      <w:hyperlink r:id="rId8" w:anchor="!/Fremont10/Fremont1030.html#10.30.050" w:history="1">
        <w:r w:rsidR="002B42A5" w:rsidRPr="002B42A5">
          <w:rPr>
            <w:rFonts w:ascii="Arial" w:eastAsia="Times New Roman" w:hAnsi="Arial" w:cs="Arial"/>
            <w:b/>
            <w:bCs/>
            <w:color w:val="0275D8"/>
            <w:sz w:val="21"/>
            <w:szCs w:val="21"/>
            <w:u w:val="single"/>
          </w:rPr>
          <w:t>110.46.050    Electric vehicle parking restriction.</w:t>
        </w:r>
      </w:hyperlink>
    </w:p>
    <w:p w14:paraId="2841D9FD" w14:textId="77777777" w:rsidR="002B42A5" w:rsidRPr="002B42A5" w:rsidRDefault="002B42A5" w:rsidP="002B42A5">
      <w:pPr>
        <w:pBdr>
          <w:left w:val="single" w:sz="18" w:space="11" w:color="8C8C8C"/>
        </w:pBdr>
        <w:shd w:val="clear" w:color="auto" w:fill="F7F7F7"/>
        <w:spacing w:before="240" w:after="240"/>
        <w:textAlignment w:val="baseline"/>
        <w:outlineLvl w:val="2"/>
        <w:rPr>
          <w:rFonts w:ascii="Arial" w:eastAsia="Times New Roman" w:hAnsi="Arial" w:cs="Arial"/>
          <w:b/>
          <w:bCs/>
          <w:color w:val="212529"/>
          <w:sz w:val="30"/>
          <w:szCs w:val="30"/>
          <w:u w:val="single"/>
        </w:rPr>
      </w:pPr>
      <w:bookmarkStart w:id="0" w:name="10.30.010"/>
      <w:r w:rsidRPr="002B42A5">
        <w:rPr>
          <w:rFonts w:ascii="Arial" w:eastAsia="Times New Roman" w:hAnsi="Arial" w:cs="Arial"/>
          <w:b/>
          <w:bCs/>
          <w:color w:val="212529"/>
          <w:sz w:val="30"/>
          <w:szCs w:val="30"/>
          <w:u w:val="single"/>
        </w:rPr>
        <w:t>10.46.010</w:t>
      </w:r>
      <w:bookmarkEnd w:id="0"/>
      <w:r w:rsidRPr="002B42A5">
        <w:rPr>
          <w:rFonts w:ascii="Arial" w:eastAsia="Times New Roman" w:hAnsi="Arial" w:cs="Arial"/>
          <w:b/>
          <w:bCs/>
          <w:color w:val="212529"/>
          <w:sz w:val="30"/>
          <w:szCs w:val="30"/>
          <w:u w:val="single"/>
        </w:rPr>
        <w:t> Authority.</w:t>
      </w:r>
    </w:p>
    <w:p w14:paraId="37271EA0" w14:textId="3653D2BC" w:rsidR="002B42A5" w:rsidRPr="002B42A5" w:rsidRDefault="002B42A5" w:rsidP="002B42A5">
      <w:pPr>
        <w:jc w:val="both"/>
        <w:rPr>
          <w:b/>
          <w:bCs/>
          <w:u w:val="single"/>
        </w:rPr>
      </w:pPr>
      <w:r w:rsidRPr="002B42A5">
        <w:rPr>
          <w:rFonts w:ascii="Arial" w:eastAsia="Times New Roman" w:hAnsi="Arial" w:cs="Arial"/>
          <w:b/>
          <w:bCs/>
          <w:color w:val="212529"/>
          <w:sz w:val="21"/>
          <w:szCs w:val="21"/>
          <w:u w:val="single"/>
        </w:rPr>
        <w:t xml:space="preserve">This chapter is enacted pursuant to </w:t>
      </w:r>
      <w:r w:rsidRPr="002B42A5">
        <w:rPr>
          <w:b/>
          <w:bCs/>
          <w:u w:val="single"/>
        </w:rPr>
        <w:t>§1640 of the New York State Vehicle and Traffic Law, as well as Municipal Home Rule Law §§10(1)(i), and 10(1)(ii)(a)(6).</w:t>
      </w:r>
    </w:p>
    <w:p w14:paraId="0154759D" w14:textId="72CEA163"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p>
    <w:p w14:paraId="2030AC14" w14:textId="77777777" w:rsidR="002B42A5" w:rsidRPr="002B42A5" w:rsidRDefault="002B42A5" w:rsidP="002B42A5">
      <w:pPr>
        <w:pBdr>
          <w:left w:val="single" w:sz="18" w:space="11" w:color="8C8C8C"/>
        </w:pBdr>
        <w:shd w:val="clear" w:color="auto" w:fill="F7F7F7"/>
        <w:spacing w:before="240" w:after="240"/>
        <w:textAlignment w:val="baseline"/>
        <w:outlineLvl w:val="2"/>
        <w:rPr>
          <w:rFonts w:ascii="Arial" w:eastAsia="Times New Roman" w:hAnsi="Arial" w:cs="Arial"/>
          <w:b/>
          <w:bCs/>
          <w:color w:val="212529"/>
          <w:sz w:val="30"/>
          <w:szCs w:val="30"/>
          <w:u w:val="single"/>
        </w:rPr>
      </w:pPr>
      <w:bookmarkStart w:id="1" w:name="10.30.020"/>
      <w:r w:rsidRPr="002B42A5">
        <w:rPr>
          <w:rFonts w:ascii="Arial" w:eastAsia="Times New Roman" w:hAnsi="Arial" w:cs="Arial"/>
          <w:b/>
          <w:bCs/>
          <w:color w:val="212529"/>
          <w:sz w:val="30"/>
          <w:szCs w:val="30"/>
          <w:u w:val="single"/>
        </w:rPr>
        <w:t>10.46.020</w:t>
      </w:r>
      <w:bookmarkEnd w:id="1"/>
      <w:r w:rsidRPr="002B42A5">
        <w:rPr>
          <w:rFonts w:ascii="Arial" w:eastAsia="Times New Roman" w:hAnsi="Arial" w:cs="Arial"/>
          <w:b/>
          <w:bCs/>
          <w:color w:val="212529"/>
          <w:sz w:val="30"/>
          <w:szCs w:val="30"/>
          <w:u w:val="single"/>
        </w:rPr>
        <w:t> Purpose.</w:t>
      </w:r>
    </w:p>
    <w:p w14:paraId="06463CE8"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The electric vehicle parking standards established in this chapter are intended to promote sustainable and alternative transportation practices; manage the availability of off-street parking, particularly in areas that will maximize the use of electric vehicles; and thereby improve traffic and parking circulation.</w:t>
      </w:r>
    </w:p>
    <w:p w14:paraId="4F9B53C1" w14:textId="77777777" w:rsidR="002B42A5" w:rsidRPr="002B42A5" w:rsidRDefault="002B42A5" w:rsidP="002B42A5">
      <w:pPr>
        <w:pBdr>
          <w:left w:val="single" w:sz="18" w:space="11" w:color="8C8C8C"/>
        </w:pBdr>
        <w:shd w:val="clear" w:color="auto" w:fill="F7F7F7"/>
        <w:spacing w:before="240" w:after="240"/>
        <w:textAlignment w:val="baseline"/>
        <w:outlineLvl w:val="2"/>
        <w:rPr>
          <w:rFonts w:ascii="Arial" w:eastAsia="Times New Roman" w:hAnsi="Arial" w:cs="Arial"/>
          <w:b/>
          <w:bCs/>
          <w:color w:val="212529"/>
          <w:sz w:val="30"/>
          <w:szCs w:val="30"/>
          <w:u w:val="single"/>
        </w:rPr>
      </w:pPr>
      <w:bookmarkStart w:id="2" w:name="10.30.030"/>
      <w:r w:rsidRPr="002B42A5">
        <w:rPr>
          <w:rFonts w:ascii="Arial" w:eastAsia="Times New Roman" w:hAnsi="Arial" w:cs="Arial"/>
          <w:b/>
          <w:bCs/>
          <w:color w:val="212529"/>
          <w:sz w:val="30"/>
          <w:szCs w:val="30"/>
          <w:u w:val="single"/>
        </w:rPr>
        <w:t>10.46.030</w:t>
      </w:r>
      <w:bookmarkEnd w:id="2"/>
      <w:r w:rsidRPr="002B42A5">
        <w:rPr>
          <w:rFonts w:ascii="Arial" w:eastAsia="Times New Roman" w:hAnsi="Arial" w:cs="Arial"/>
          <w:b/>
          <w:bCs/>
          <w:color w:val="212529"/>
          <w:sz w:val="30"/>
          <w:szCs w:val="30"/>
          <w:u w:val="single"/>
        </w:rPr>
        <w:t> Definitions.</w:t>
      </w:r>
    </w:p>
    <w:p w14:paraId="14E8EF8A"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As used in this chapter, unless otherwise apparent from the context, the following words and phrases shall have the following meanings:</w:t>
      </w:r>
    </w:p>
    <w:p w14:paraId="473A49D0"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 xml:space="preserve">“Electric vehicle” means a vehicle that operates, either partially or exclusively, on electrical energy from the electrical grid, or an </w:t>
      </w:r>
      <w:proofErr w:type="gramStart"/>
      <w:r w:rsidRPr="002B42A5">
        <w:rPr>
          <w:rFonts w:ascii="Arial" w:eastAsia="Times New Roman" w:hAnsi="Arial" w:cs="Arial"/>
          <w:b/>
          <w:bCs/>
          <w:color w:val="212529"/>
          <w:sz w:val="21"/>
          <w:szCs w:val="21"/>
          <w:u w:val="single"/>
        </w:rPr>
        <w:t>off grid</w:t>
      </w:r>
      <w:proofErr w:type="gramEnd"/>
      <w:r w:rsidRPr="002B42A5">
        <w:rPr>
          <w:rFonts w:ascii="Arial" w:eastAsia="Times New Roman" w:hAnsi="Arial" w:cs="Arial"/>
          <w:b/>
          <w:bCs/>
          <w:color w:val="212529"/>
          <w:sz w:val="21"/>
          <w:szCs w:val="21"/>
          <w:u w:val="single"/>
        </w:rPr>
        <w:t xml:space="preserve"> source, that is stored on board for motive purposes.</w:t>
      </w:r>
    </w:p>
    <w:p w14:paraId="222E91BF"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lastRenderedPageBreak/>
        <w:t>“Electric vehicle charging station” means equipment that has as its primary purpose the transfer of electric energy to a battery or other energy storage device on an electric vehicle.</w:t>
      </w:r>
    </w:p>
    <w:p w14:paraId="6F9A166A" w14:textId="77777777" w:rsidR="002B42A5" w:rsidRPr="002B42A5" w:rsidRDefault="002B42A5" w:rsidP="002B42A5">
      <w:pPr>
        <w:pBdr>
          <w:left w:val="single" w:sz="18" w:space="11" w:color="8C8C8C"/>
        </w:pBdr>
        <w:shd w:val="clear" w:color="auto" w:fill="F7F7F7"/>
        <w:spacing w:before="240" w:after="240"/>
        <w:textAlignment w:val="baseline"/>
        <w:outlineLvl w:val="2"/>
        <w:rPr>
          <w:rFonts w:ascii="Arial" w:eastAsia="Times New Roman" w:hAnsi="Arial" w:cs="Arial"/>
          <w:b/>
          <w:bCs/>
          <w:color w:val="212529"/>
          <w:sz w:val="30"/>
          <w:szCs w:val="30"/>
          <w:u w:val="single"/>
        </w:rPr>
      </w:pPr>
      <w:bookmarkStart w:id="3" w:name="10.30.040"/>
      <w:r w:rsidRPr="002B42A5">
        <w:rPr>
          <w:rFonts w:ascii="Arial" w:eastAsia="Times New Roman" w:hAnsi="Arial" w:cs="Arial"/>
          <w:b/>
          <w:bCs/>
          <w:color w:val="212529"/>
          <w:sz w:val="30"/>
          <w:szCs w:val="30"/>
          <w:u w:val="single"/>
        </w:rPr>
        <w:t>10.46.040</w:t>
      </w:r>
      <w:bookmarkEnd w:id="3"/>
      <w:r w:rsidRPr="002B42A5">
        <w:rPr>
          <w:rFonts w:ascii="Arial" w:eastAsia="Times New Roman" w:hAnsi="Arial" w:cs="Arial"/>
          <w:b/>
          <w:bCs/>
          <w:color w:val="212529"/>
          <w:sz w:val="30"/>
          <w:szCs w:val="30"/>
          <w:u w:val="single"/>
        </w:rPr>
        <w:t> Designation of electric vehicle parking spaces.</w:t>
      </w:r>
    </w:p>
    <w:p w14:paraId="055ACC09"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(a)    Designation of Parking Spaces. The director of public works, or designee, is authorized in accordance with the purposes of this chapter to designate spaces in off-street public parking facilities for the exclusive parking of electric vehicles that are connected to electric vehicle charging stations for the purpose of transfer of electricity to the battery or other energy storage device of an electric vehicle.</w:t>
      </w:r>
    </w:p>
    <w:p w14:paraId="07521B90"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(b)    Signs or Markings. Upon designation of a parking space or spaces for the exclusive use of electric vehicles pursuant to subsection (a) of this section, the public works department shall place signs or markings giving adequate notice that the parking space or spaces are restricted and to be used only for such electric vehicles. The signs or markings shall indicate that vehicles left standing in violation of the restriction may be removed. The parking restriction shall not apply to the designated parking spaces until the sign or markings have been placed.</w:t>
      </w:r>
    </w:p>
    <w:p w14:paraId="73F80FD1" w14:textId="77777777" w:rsidR="002B42A5" w:rsidRPr="002B42A5" w:rsidRDefault="002B42A5" w:rsidP="002B42A5">
      <w:pPr>
        <w:pBdr>
          <w:left w:val="single" w:sz="18" w:space="11" w:color="8C8C8C"/>
        </w:pBdr>
        <w:shd w:val="clear" w:color="auto" w:fill="F7F7F7"/>
        <w:spacing w:before="240" w:after="240"/>
        <w:textAlignment w:val="baseline"/>
        <w:outlineLvl w:val="2"/>
        <w:rPr>
          <w:rFonts w:ascii="Arial" w:eastAsia="Times New Roman" w:hAnsi="Arial" w:cs="Arial"/>
          <w:b/>
          <w:bCs/>
          <w:color w:val="212529"/>
          <w:sz w:val="30"/>
          <w:szCs w:val="30"/>
          <w:u w:val="single"/>
        </w:rPr>
      </w:pPr>
      <w:bookmarkStart w:id="4" w:name="10.30.050"/>
      <w:r w:rsidRPr="002B42A5">
        <w:rPr>
          <w:rFonts w:ascii="Arial" w:eastAsia="Times New Roman" w:hAnsi="Arial" w:cs="Arial"/>
          <w:b/>
          <w:bCs/>
          <w:color w:val="212529"/>
          <w:sz w:val="30"/>
          <w:szCs w:val="30"/>
          <w:u w:val="single"/>
        </w:rPr>
        <w:t>10.46.050</w:t>
      </w:r>
      <w:bookmarkEnd w:id="4"/>
      <w:r w:rsidRPr="002B42A5">
        <w:rPr>
          <w:rFonts w:ascii="Arial" w:eastAsia="Times New Roman" w:hAnsi="Arial" w:cs="Arial"/>
          <w:b/>
          <w:bCs/>
          <w:color w:val="212529"/>
          <w:sz w:val="30"/>
          <w:szCs w:val="30"/>
          <w:u w:val="single"/>
        </w:rPr>
        <w:t> Electric vehicle parking restriction.</w:t>
      </w:r>
    </w:p>
    <w:p w14:paraId="0E83C116"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(a)    Where a sign designating a parking space for the exclusive use of charging electric vehicles is posted, no person shall park in that space any nonelectric vehicle, electric vehicle that is not connected to the electric vehicle charging station, electric vehicle that is not charging, or electric vehicle that has been charging for more than four hours.</w:t>
      </w:r>
    </w:p>
    <w:p w14:paraId="6F931BB7" w14:textId="77777777" w:rsidR="002B42A5" w:rsidRPr="002B42A5" w:rsidRDefault="002B42A5" w:rsidP="002B42A5">
      <w:pPr>
        <w:shd w:val="clear" w:color="auto" w:fill="FFFFFF"/>
        <w:spacing w:after="300"/>
        <w:textAlignment w:val="baseline"/>
        <w:rPr>
          <w:rFonts w:ascii="Arial" w:eastAsia="Times New Roman" w:hAnsi="Arial" w:cs="Arial"/>
          <w:b/>
          <w:bCs/>
          <w:color w:val="212529"/>
          <w:sz w:val="21"/>
          <w:szCs w:val="21"/>
          <w:u w:val="single"/>
        </w:rPr>
      </w:pPr>
      <w:r w:rsidRPr="002B42A5">
        <w:rPr>
          <w:rFonts w:ascii="Arial" w:eastAsia="Times New Roman" w:hAnsi="Arial" w:cs="Arial"/>
          <w:b/>
          <w:bCs/>
          <w:color w:val="212529"/>
          <w:sz w:val="21"/>
          <w:szCs w:val="21"/>
          <w:u w:val="single"/>
        </w:rPr>
        <w:t>(b)    The police department is authorized to cite and/or remove or cause the removal of vehicles parked in violation of this section.</w:t>
      </w:r>
    </w:p>
    <w:p w14:paraId="3E12BC0D" w14:textId="77777777" w:rsidR="0026354C" w:rsidRDefault="0026354C" w:rsidP="0026354C">
      <w:pPr>
        <w:jc w:val="both"/>
      </w:pPr>
      <w:r w:rsidRPr="001510BC">
        <w:rPr>
          <w:b/>
        </w:rPr>
        <w:t>Section 2.  Authority.</w:t>
      </w:r>
      <w:r>
        <w:t xml:space="preserve">  The proposed local law is enacted pursuant </w:t>
      </w:r>
      <w:bookmarkStart w:id="5" w:name="_Hlk100581074"/>
      <w:r>
        <w:t>to §1640 of the New York State Vehicle and Traffic Law, as well as Municipal Home Rule Law §§10(1)(i), and 10(1)(ii)(a)(6).</w:t>
      </w:r>
    </w:p>
    <w:bookmarkEnd w:id="5"/>
    <w:p w14:paraId="6FC505D4" w14:textId="77777777" w:rsidR="001510BC" w:rsidRDefault="001510BC" w:rsidP="0026354C">
      <w:pPr>
        <w:jc w:val="both"/>
      </w:pPr>
    </w:p>
    <w:p w14:paraId="747D7E50" w14:textId="77777777" w:rsidR="001510BC" w:rsidRDefault="001510BC" w:rsidP="0026354C">
      <w:pPr>
        <w:jc w:val="both"/>
      </w:pPr>
      <w:r>
        <w:rPr>
          <w:b/>
        </w:rPr>
        <w:t>Section 3.  Severability</w:t>
      </w:r>
      <w:r w:rsidRPr="001510BC">
        <w:rPr>
          <w:b/>
        </w:rPr>
        <w:t>.</w:t>
      </w:r>
      <w:r>
        <w:t xml:space="preserve">  If any section or subsection, paragraph, clause, phrase, or provision of this law shall be adjudged invalid or held unconstitutional by any court of competent jurisdiction, any judgment made thereby shall not affect the validity of this law as a whole, or any part thereof other than the part or provision so adjudged to be invalid or unconstitutional.</w:t>
      </w:r>
    </w:p>
    <w:p w14:paraId="0D63BD46" w14:textId="77777777" w:rsidR="001510BC" w:rsidRDefault="001510BC" w:rsidP="0026354C">
      <w:pPr>
        <w:jc w:val="both"/>
      </w:pPr>
    </w:p>
    <w:p w14:paraId="4660E3CC" w14:textId="77777777" w:rsidR="001510BC" w:rsidRDefault="001510BC" w:rsidP="0026354C">
      <w:pPr>
        <w:jc w:val="both"/>
      </w:pPr>
      <w:r>
        <w:rPr>
          <w:b/>
        </w:rPr>
        <w:t>Section 4.  Effective Date</w:t>
      </w:r>
      <w:r w:rsidRPr="001510BC">
        <w:rPr>
          <w:b/>
        </w:rPr>
        <w:t>.</w:t>
      </w:r>
      <w:r>
        <w:t xml:space="preserve">  This local law shall take effect upon filing with the Secretary of State pursuant to Municipal Home Rule Law.</w:t>
      </w:r>
    </w:p>
    <w:p w14:paraId="0E0FD9E3" w14:textId="77777777" w:rsidR="001510BC" w:rsidRDefault="001510BC" w:rsidP="0026354C">
      <w:pPr>
        <w:jc w:val="both"/>
      </w:pPr>
    </w:p>
    <w:p w14:paraId="1126859A" w14:textId="77777777" w:rsidR="001510BC" w:rsidRPr="00F07518" w:rsidRDefault="001510BC" w:rsidP="001510BC">
      <w:pPr>
        <w:tabs>
          <w:tab w:val="left" w:pos="720"/>
          <w:tab w:val="left" w:pos="1350"/>
          <w:tab w:val="left" w:pos="2160"/>
          <w:tab w:val="left" w:pos="2880"/>
          <w:tab w:val="left" w:pos="3600"/>
          <w:tab w:val="left" w:pos="4320"/>
          <w:tab w:val="left" w:pos="5040"/>
          <w:tab w:val="left" w:pos="5310"/>
          <w:tab w:val="left" w:pos="6660"/>
          <w:tab w:val="left" w:pos="7200"/>
          <w:tab w:val="left" w:pos="7920"/>
          <w:tab w:val="left" w:pos="8640"/>
        </w:tabs>
        <w:jc w:val="both"/>
        <w:rPr>
          <w:sz w:val="22"/>
          <w:szCs w:val="22"/>
        </w:rPr>
      </w:pPr>
      <w:r w:rsidRPr="00F07518">
        <w:rPr>
          <w:sz w:val="22"/>
          <w:szCs w:val="22"/>
          <w:u w:val="single"/>
        </w:rPr>
        <w:t>Aye</w:t>
      </w:r>
      <w:r w:rsidRPr="00F07518">
        <w:rPr>
          <w:sz w:val="22"/>
          <w:szCs w:val="22"/>
        </w:rPr>
        <w:tab/>
      </w:r>
      <w:r w:rsidRPr="00F07518">
        <w:rPr>
          <w:sz w:val="22"/>
          <w:szCs w:val="22"/>
        </w:rPr>
        <w:tab/>
      </w:r>
      <w:r w:rsidRPr="00F07518">
        <w:rPr>
          <w:sz w:val="22"/>
          <w:szCs w:val="22"/>
          <w:u w:val="single"/>
        </w:rPr>
        <w:t>Nay</w:t>
      </w:r>
      <w:r w:rsidRPr="00F07518">
        <w:rPr>
          <w:sz w:val="22"/>
          <w:szCs w:val="22"/>
        </w:rPr>
        <w:tab/>
      </w:r>
      <w:r w:rsidRPr="00F07518">
        <w:rPr>
          <w:sz w:val="22"/>
          <w:szCs w:val="22"/>
        </w:rPr>
        <w:tab/>
      </w:r>
      <w:r w:rsidRPr="00F07518">
        <w:rPr>
          <w:sz w:val="22"/>
          <w:szCs w:val="22"/>
        </w:rPr>
        <w:tab/>
      </w:r>
      <w:r w:rsidRPr="00F07518">
        <w:rPr>
          <w:sz w:val="22"/>
          <w:szCs w:val="22"/>
        </w:rPr>
        <w:tab/>
      </w:r>
      <w:r w:rsidR="00F07518" w:rsidRPr="00F07518">
        <w:rPr>
          <w:sz w:val="22"/>
          <w:szCs w:val="22"/>
        </w:rPr>
        <w:tab/>
      </w:r>
      <w:r w:rsidRPr="00F07518">
        <w:rPr>
          <w:sz w:val="22"/>
          <w:szCs w:val="22"/>
          <w:u w:val="single"/>
        </w:rPr>
        <w:t>Aye</w:t>
      </w:r>
      <w:r w:rsidRPr="00F07518">
        <w:rPr>
          <w:sz w:val="22"/>
          <w:szCs w:val="22"/>
        </w:rPr>
        <w:tab/>
      </w:r>
      <w:r w:rsidRPr="00F07518">
        <w:rPr>
          <w:sz w:val="22"/>
          <w:szCs w:val="22"/>
          <w:u w:val="single"/>
        </w:rPr>
        <w:t>Nay</w:t>
      </w:r>
    </w:p>
    <w:p w14:paraId="0DE017E6" w14:textId="77777777" w:rsidR="001510BC" w:rsidRPr="00F07518" w:rsidRDefault="001510BC" w:rsidP="001510BC">
      <w:pPr>
        <w:tabs>
          <w:tab w:val="left" w:pos="720"/>
          <w:tab w:val="left" w:pos="1350"/>
          <w:tab w:val="left" w:pos="2160"/>
          <w:tab w:val="left" w:pos="2880"/>
          <w:tab w:val="left" w:pos="3600"/>
          <w:tab w:val="left" w:pos="4320"/>
          <w:tab w:val="left" w:pos="5040"/>
          <w:tab w:val="left" w:pos="6030"/>
          <w:tab w:val="left" w:pos="6480"/>
          <w:tab w:val="left" w:pos="7200"/>
          <w:tab w:val="left" w:pos="7920"/>
          <w:tab w:val="left" w:pos="8640"/>
        </w:tabs>
        <w:jc w:val="both"/>
        <w:rPr>
          <w:sz w:val="22"/>
          <w:szCs w:val="22"/>
        </w:rPr>
      </w:pPr>
    </w:p>
    <w:p w14:paraId="690199CF" w14:textId="0C3E87D7" w:rsidR="001510BC" w:rsidRPr="00F07518" w:rsidRDefault="001510BC" w:rsidP="00F07518">
      <w:pPr>
        <w:tabs>
          <w:tab w:val="left" w:pos="720"/>
          <w:tab w:val="left" w:pos="1350"/>
          <w:tab w:val="left" w:pos="2160"/>
          <w:tab w:val="left" w:pos="2520"/>
          <w:tab w:val="left" w:pos="3600"/>
          <w:tab w:val="left" w:pos="4320"/>
          <w:tab w:val="left" w:pos="4950"/>
          <w:tab w:val="left" w:pos="5580"/>
          <w:tab w:val="left" w:pos="6390"/>
          <w:tab w:val="left" w:pos="7200"/>
          <w:tab w:val="left" w:pos="7470"/>
        </w:tabs>
        <w:jc w:val="both"/>
        <w:rPr>
          <w:sz w:val="22"/>
          <w:szCs w:val="22"/>
        </w:rPr>
      </w:pPr>
      <w:r w:rsidRPr="00F07518">
        <w:rPr>
          <w:sz w:val="22"/>
          <w:szCs w:val="22"/>
          <w:u w:val="single"/>
        </w:rPr>
        <w:tab/>
      </w:r>
      <w:r w:rsidRPr="00F07518">
        <w:rPr>
          <w:sz w:val="22"/>
          <w:szCs w:val="22"/>
        </w:rPr>
        <w:tab/>
      </w:r>
      <w:r w:rsidR="00F07518" w:rsidRPr="00F07518">
        <w:rPr>
          <w:sz w:val="22"/>
          <w:szCs w:val="22"/>
          <w:u w:val="single"/>
        </w:rPr>
        <w:tab/>
      </w:r>
      <w:r w:rsidRPr="00F07518">
        <w:rPr>
          <w:sz w:val="22"/>
          <w:szCs w:val="22"/>
        </w:rPr>
        <w:tab/>
        <w:t>Mayor Warren</w:t>
      </w:r>
      <w:r w:rsidRPr="00F07518">
        <w:rPr>
          <w:sz w:val="22"/>
          <w:szCs w:val="22"/>
        </w:rPr>
        <w:tab/>
      </w:r>
      <w:r w:rsidRPr="00F07518">
        <w:rPr>
          <w:sz w:val="22"/>
          <w:szCs w:val="22"/>
        </w:rPr>
        <w:tab/>
      </w:r>
      <w:r w:rsidRPr="00F07518">
        <w:rPr>
          <w:sz w:val="22"/>
          <w:szCs w:val="22"/>
          <w:u w:val="single"/>
        </w:rPr>
        <w:tab/>
      </w:r>
      <w:r w:rsidRPr="00F07518">
        <w:rPr>
          <w:sz w:val="22"/>
          <w:szCs w:val="22"/>
        </w:rPr>
        <w:tab/>
      </w:r>
      <w:r w:rsidRPr="00F07518">
        <w:rPr>
          <w:sz w:val="22"/>
          <w:szCs w:val="22"/>
          <w:u w:val="single"/>
        </w:rPr>
        <w:tab/>
      </w:r>
      <w:r w:rsidRPr="00F07518">
        <w:rPr>
          <w:sz w:val="22"/>
          <w:szCs w:val="22"/>
        </w:rPr>
        <w:tab/>
        <w:t xml:space="preserve">Trustee </w:t>
      </w:r>
      <w:r w:rsidR="00B3267E">
        <w:rPr>
          <w:sz w:val="22"/>
          <w:szCs w:val="22"/>
        </w:rPr>
        <w:t>Stevenson</w:t>
      </w:r>
    </w:p>
    <w:p w14:paraId="7D76906F" w14:textId="77777777" w:rsidR="001510BC" w:rsidRPr="00F07518" w:rsidRDefault="001510BC" w:rsidP="001510BC">
      <w:pPr>
        <w:tabs>
          <w:tab w:val="left" w:pos="720"/>
          <w:tab w:val="left" w:pos="1080"/>
          <w:tab w:val="left" w:pos="1350"/>
          <w:tab w:val="left" w:pos="2160"/>
          <w:tab w:val="left" w:pos="2880"/>
          <w:tab w:val="left" w:pos="3600"/>
          <w:tab w:val="left" w:pos="4320"/>
          <w:tab w:val="left" w:pos="5040"/>
          <w:tab w:val="left" w:pos="5760"/>
          <w:tab w:val="left" w:pos="6480"/>
          <w:tab w:val="left" w:pos="7200"/>
          <w:tab w:val="left" w:pos="7920"/>
          <w:tab w:val="left" w:pos="8640"/>
        </w:tabs>
        <w:jc w:val="both"/>
        <w:rPr>
          <w:sz w:val="22"/>
          <w:szCs w:val="22"/>
        </w:rPr>
      </w:pPr>
    </w:p>
    <w:p w14:paraId="488FE44A" w14:textId="265E764B" w:rsidR="00F07518" w:rsidRPr="00F07518" w:rsidRDefault="00F07518" w:rsidP="00F07518">
      <w:pPr>
        <w:tabs>
          <w:tab w:val="left" w:pos="720"/>
          <w:tab w:val="left" w:pos="1350"/>
          <w:tab w:val="left" w:pos="2160"/>
          <w:tab w:val="left" w:pos="2520"/>
          <w:tab w:val="left" w:pos="3600"/>
          <w:tab w:val="left" w:pos="4320"/>
          <w:tab w:val="left" w:pos="4950"/>
          <w:tab w:val="left" w:pos="5580"/>
          <w:tab w:val="left" w:pos="6390"/>
          <w:tab w:val="left" w:pos="7200"/>
          <w:tab w:val="left" w:pos="7470"/>
        </w:tabs>
        <w:jc w:val="both"/>
        <w:rPr>
          <w:sz w:val="22"/>
          <w:szCs w:val="22"/>
        </w:rPr>
      </w:pPr>
      <w:r w:rsidRPr="00F07518">
        <w:rPr>
          <w:sz w:val="22"/>
          <w:szCs w:val="22"/>
          <w:u w:val="single"/>
        </w:rPr>
        <w:tab/>
      </w:r>
      <w:r w:rsidRPr="00F07518">
        <w:rPr>
          <w:sz w:val="22"/>
          <w:szCs w:val="22"/>
        </w:rPr>
        <w:tab/>
      </w:r>
      <w:r w:rsidRPr="00F07518">
        <w:rPr>
          <w:sz w:val="22"/>
          <w:szCs w:val="22"/>
          <w:u w:val="single"/>
        </w:rPr>
        <w:tab/>
      </w:r>
      <w:r w:rsidRPr="00F07518">
        <w:rPr>
          <w:sz w:val="22"/>
          <w:szCs w:val="22"/>
        </w:rPr>
        <w:tab/>
        <w:t>Trustee Ar</w:t>
      </w:r>
      <w:r w:rsidR="00660620">
        <w:rPr>
          <w:sz w:val="22"/>
          <w:szCs w:val="22"/>
        </w:rPr>
        <w:t>r</w:t>
      </w:r>
      <w:r w:rsidRPr="00F07518">
        <w:rPr>
          <w:sz w:val="22"/>
          <w:szCs w:val="22"/>
        </w:rPr>
        <w:t>esta</w:t>
      </w:r>
      <w:r w:rsidRPr="00F07518">
        <w:rPr>
          <w:sz w:val="22"/>
          <w:szCs w:val="22"/>
        </w:rPr>
        <w:tab/>
      </w:r>
      <w:r w:rsidRPr="00F07518">
        <w:rPr>
          <w:sz w:val="22"/>
          <w:szCs w:val="22"/>
        </w:rPr>
        <w:tab/>
      </w:r>
      <w:r w:rsidRPr="00F07518">
        <w:rPr>
          <w:sz w:val="22"/>
          <w:szCs w:val="22"/>
          <w:u w:val="single"/>
        </w:rPr>
        <w:tab/>
      </w:r>
      <w:r w:rsidRPr="00F07518">
        <w:rPr>
          <w:sz w:val="22"/>
          <w:szCs w:val="22"/>
        </w:rPr>
        <w:tab/>
      </w:r>
      <w:r w:rsidRPr="00F07518">
        <w:rPr>
          <w:sz w:val="22"/>
          <w:szCs w:val="22"/>
          <w:u w:val="single"/>
        </w:rPr>
        <w:tab/>
      </w:r>
      <w:r w:rsidRPr="00F07518">
        <w:rPr>
          <w:sz w:val="22"/>
          <w:szCs w:val="22"/>
        </w:rPr>
        <w:tab/>
        <w:t>Trustee McLoughlin</w:t>
      </w:r>
    </w:p>
    <w:p w14:paraId="5335CF5C" w14:textId="77777777" w:rsidR="001510BC" w:rsidRPr="00F07518" w:rsidRDefault="001510BC" w:rsidP="00F07518">
      <w:pPr>
        <w:tabs>
          <w:tab w:val="left" w:pos="720"/>
          <w:tab w:val="left" w:pos="1080"/>
          <w:tab w:val="left" w:pos="1350"/>
          <w:tab w:val="left" w:pos="2160"/>
          <w:tab w:val="left" w:pos="2880"/>
          <w:tab w:val="left" w:pos="3600"/>
          <w:tab w:val="left" w:pos="4320"/>
          <w:tab w:val="left" w:pos="5040"/>
          <w:tab w:val="left" w:pos="5580"/>
          <w:tab w:val="left" w:pos="6480"/>
          <w:tab w:val="left" w:pos="7200"/>
          <w:tab w:val="left" w:pos="7920"/>
          <w:tab w:val="left" w:pos="8640"/>
        </w:tabs>
        <w:jc w:val="both"/>
        <w:rPr>
          <w:sz w:val="22"/>
          <w:szCs w:val="22"/>
        </w:rPr>
      </w:pPr>
    </w:p>
    <w:p w14:paraId="5260EC84" w14:textId="66E31710" w:rsidR="00F07518" w:rsidRDefault="00F07518" w:rsidP="00F07518">
      <w:pPr>
        <w:tabs>
          <w:tab w:val="left" w:pos="720"/>
          <w:tab w:val="left" w:pos="1350"/>
          <w:tab w:val="left" w:pos="2160"/>
          <w:tab w:val="left" w:pos="2520"/>
          <w:tab w:val="left" w:pos="3600"/>
          <w:tab w:val="left" w:pos="4320"/>
          <w:tab w:val="left" w:pos="4950"/>
          <w:tab w:val="left" w:pos="5580"/>
          <w:tab w:val="left" w:pos="6390"/>
          <w:tab w:val="left" w:pos="7200"/>
          <w:tab w:val="left" w:pos="7470"/>
        </w:tabs>
        <w:jc w:val="both"/>
        <w:rPr>
          <w:sz w:val="22"/>
          <w:szCs w:val="22"/>
        </w:rPr>
      </w:pPr>
      <w:r w:rsidRPr="00F07518">
        <w:rPr>
          <w:sz w:val="22"/>
          <w:szCs w:val="22"/>
          <w:u w:val="single"/>
        </w:rPr>
        <w:tab/>
      </w:r>
      <w:r w:rsidRPr="00F07518">
        <w:rPr>
          <w:sz w:val="22"/>
          <w:szCs w:val="22"/>
        </w:rPr>
        <w:tab/>
      </w:r>
      <w:r w:rsidRPr="00F07518">
        <w:rPr>
          <w:sz w:val="22"/>
          <w:szCs w:val="22"/>
          <w:u w:val="single"/>
        </w:rPr>
        <w:tab/>
      </w:r>
      <w:r w:rsidRPr="00F07518">
        <w:rPr>
          <w:sz w:val="22"/>
          <w:szCs w:val="22"/>
        </w:rPr>
        <w:tab/>
      </w:r>
      <w:r>
        <w:rPr>
          <w:sz w:val="22"/>
          <w:szCs w:val="22"/>
        </w:rPr>
        <w:t>Trustee</w:t>
      </w:r>
      <w:r w:rsidR="00B3267E">
        <w:rPr>
          <w:sz w:val="22"/>
          <w:szCs w:val="22"/>
        </w:rPr>
        <w:t xml:space="preserve"> Brown</w:t>
      </w:r>
    </w:p>
    <w:p w14:paraId="6B5E5399" w14:textId="77777777" w:rsidR="00F07518" w:rsidRDefault="00F07518" w:rsidP="00F07518">
      <w:pPr>
        <w:jc w:val="both"/>
        <w:rPr>
          <w:sz w:val="22"/>
          <w:szCs w:val="22"/>
        </w:rPr>
      </w:pPr>
    </w:p>
    <w:p w14:paraId="1CBA1802" w14:textId="2830003D" w:rsidR="00F07518" w:rsidRPr="003C4F1D" w:rsidRDefault="00F07518" w:rsidP="00F07518">
      <w:pPr>
        <w:jc w:val="both"/>
      </w:pPr>
      <w:r w:rsidRPr="003C4F1D">
        <w:t>Dated:</w:t>
      </w:r>
      <w:r w:rsidRPr="003C4F1D">
        <w:tab/>
      </w:r>
      <w:r w:rsidRPr="003C4F1D">
        <w:rPr>
          <w:u w:val="single"/>
        </w:rPr>
        <w:tab/>
      </w:r>
      <w:r w:rsidRPr="003C4F1D">
        <w:rPr>
          <w:u w:val="single"/>
        </w:rPr>
        <w:tab/>
      </w:r>
      <w:r w:rsidRPr="003C4F1D">
        <w:rPr>
          <w:u w:val="single"/>
        </w:rPr>
        <w:tab/>
      </w:r>
      <w:r w:rsidRPr="003C4F1D">
        <w:t>, 202</w:t>
      </w:r>
      <w:r w:rsidR="00B3267E">
        <w:t>2</w:t>
      </w:r>
    </w:p>
    <w:p w14:paraId="2A37CF48" w14:textId="77777777" w:rsidR="00F07518" w:rsidRPr="003C4F1D" w:rsidRDefault="00F07518" w:rsidP="00F07518">
      <w:pPr>
        <w:jc w:val="both"/>
      </w:pPr>
    </w:p>
    <w:p w14:paraId="3A17CCBB" w14:textId="7AD723F6" w:rsidR="00F07518" w:rsidRPr="003C4F1D" w:rsidRDefault="00F07518" w:rsidP="00F07518">
      <w:pPr>
        <w:jc w:val="both"/>
        <w:rPr>
          <w:u w:val="single"/>
        </w:rPr>
      </w:pPr>
      <w:r w:rsidRPr="003C4F1D">
        <w:tab/>
      </w:r>
      <w:r w:rsidRPr="003C4F1D">
        <w:tab/>
      </w:r>
      <w:r w:rsidRPr="003C4F1D">
        <w:tab/>
      </w:r>
      <w:r w:rsidRPr="003C4F1D">
        <w:tab/>
      </w:r>
      <w:r w:rsidRPr="003C4F1D">
        <w:tab/>
      </w:r>
      <w:r w:rsidRPr="003C4F1D">
        <w:tab/>
      </w:r>
      <w:r w:rsidRPr="003C4F1D">
        <w:tab/>
      </w:r>
      <w:r w:rsidRPr="003C4F1D">
        <w:rPr>
          <w:u w:val="single"/>
        </w:rPr>
        <w:tab/>
      </w:r>
      <w:r w:rsidRPr="003C4F1D">
        <w:rPr>
          <w:u w:val="single"/>
        </w:rPr>
        <w:tab/>
      </w:r>
      <w:r w:rsidRPr="003C4F1D">
        <w:rPr>
          <w:u w:val="single"/>
        </w:rPr>
        <w:tab/>
      </w:r>
      <w:r w:rsidRPr="003C4F1D">
        <w:rPr>
          <w:u w:val="single"/>
        </w:rPr>
        <w:tab/>
      </w:r>
      <w:r w:rsidR="005C217C">
        <w:rPr>
          <w:u w:val="single"/>
        </w:rPr>
        <w:t>____</w:t>
      </w:r>
    </w:p>
    <w:p w14:paraId="3E15F807" w14:textId="683A4044" w:rsidR="001510BC" w:rsidRPr="003C4F1D" w:rsidRDefault="00F07518" w:rsidP="00317DDC">
      <w:pPr>
        <w:jc w:val="both"/>
      </w:pPr>
      <w:r w:rsidRPr="003C4F1D">
        <w:lastRenderedPageBreak/>
        <w:tab/>
      </w:r>
      <w:r w:rsidRPr="003C4F1D">
        <w:tab/>
      </w:r>
      <w:r w:rsidRPr="003C4F1D">
        <w:tab/>
      </w:r>
      <w:r w:rsidRPr="003C4F1D">
        <w:tab/>
      </w:r>
      <w:r w:rsidRPr="003C4F1D">
        <w:tab/>
      </w:r>
      <w:r w:rsidRPr="003C4F1D">
        <w:tab/>
      </w:r>
      <w:r w:rsidRPr="003C4F1D">
        <w:tab/>
      </w:r>
      <w:r w:rsidR="005C217C">
        <w:t>Cathy M. Sweeney</w:t>
      </w:r>
      <w:r w:rsidRPr="003C4F1D">
        <w:t xml:space="preserve"> – Village Clerk</w:t>
      </w:r>
    </w:p>
    <w:sectPr w:rsidR="001510BC" w:rsidRPr="003C4F1D" w:rsidSect="005C217C">
      <w:pgSz w:w="12240" w:h="15840"/>
      <w:pgMar w:top="1008"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4C"/>
    <w:rsid w:val="001510BC"/>
    <w:rsid w:val="00204CBB"/>
    <w:rsid w:val="0026354C"/>
    <w:rsid w:val="002B42A5"/>
    <w:rsid w:val="00317DDC"/>
    <w:rsid w:val="003C4F1D"/>
    <w:rsid w:val="00425682"/>
    <w:rsid w:val="005141C9"/>
    <w:rsid w:val="005C217C"/>
    <w:rsid w:val="00660620"/>
    <w:rsid w:val="00836A77"/>
    <w:rsid w:val="0099433F"/>
    <w:rsid w:val="00B3267E"/>
    <w:rsid w:val="00D0495B"/>
    <w:rsid w:val="00E4503D"/>
    <w:rsid w:val="00F07518"/>
    <w:rsid w:val="00FD16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1BACC"/>
  <w15:chartTrackingRefBased/>
  <w15:docId w15:val="{69B464FD-27B9-4316-94A3-C7EDD560F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04CBB"/>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sid w:val="00425682"/>
    <w:rPr>
      <w:rFonts w:eastAsiaTheme="majorEastAsia" w:cstheme="majorBidi"/>
      <w:sz w:val="20"/>
      <w:szCs w:val="20"/>
    </w:rPr>
  </w:style>
  <w:style w:type="character" w:styleId="PlaceholderText">
    <w:name w:val="Placeholder Text"/>
    <w:basedOn w:val="DefaultParagraphFont"/>
    <w:uiPriority w:val="99"/>
    <w:semiHidden/>
    <w:rsid w:val="002635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depublishing.com/CA/Fremont/" TargetMode="External"/><Relationship Id="rId3" Type="http://schemas.openxmlformats.org/officeDocument/2006/relationships/webSettings" Target="webSettings.xml"/><Relationship Id="rId7" Type="http://schemas.openxmlformats.org/officeDocument/2006/relationships/hyperlink" Target="https://www.codepublishing.com/CA/Fremo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odepublishing.com/CA/Fremont/" TargetMode="External"/><Relationship Id="rId5" Type="http://schemas.openxmlformats.org/officeDocument/2006/relationships/hyperlink" Target="https://www.codepublishing.com/CA/Fremont/" TargetMode="External"/><Relationship Id="rId10" Type="http://schemas.openxmlformats.org/officeDocument/2006/relationships/theme" Target="theme/theme1.xml"/><Relationship Id="rId4" Type="http://schemas.openxmlformats.org/officeDocument/2006/relationships/hyperlink" Target="https://www.codepublishing.com/CA/Fremont/"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4129</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Ferri</dc:creator>
  <cp:keywords/>
  <dc:description/>
  <cp:lastModifiedBy>Cathy Sweeney</cp:lastModifiedBy>
  <cp:revision>2</cp:revision>
  <cp:lastPrinted>2022-04-11T18:52:00Z</cp:lastPrinted>
  <dcterms:created xsi:type="dcterms:W3CDTF">2022-04-11T19:28:00Z</dcterms:created>
  <dcterms:modified xsi:type="dcterms:W3CDTF">2022-04-11T19:28:00Z</dcterms:modified>
</cp:coreProperties>
</file>